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995" w:rsidRDefault="00670995" w:rsidP="00670995">
      <w:pPr>
        <w:jc w:val="both"/>
      </w:pPr>
      <w:r>
        <w:t xml:space="preserve">   Histor</w:t>
      </w:r>
      <w:r w:rsidR="00DA172B">
        <w:t>y</w:t>
      </w:r>
      <w:r w:rsidR="00441767">
        <w:t xml:space="preserve"> is a great tool becaus</w:t>
      </w:r>
      <w:r w:rsidR="00DA172B">
        <w:t>e the situations we learn about vary from our times in particulars but not in principles. This allows us to form opinions and decide actions based on the wisdom or folly of others. Let us look down history to the founding of our nation and specifically April 19</w:t>
      </w:r>
      <w:r w:rsidR="00DA172B" w:rsidRPr="00670995">
        <w:t>th</w:t>
      </w:r>
      <w:r w:rsidR="00DA172B">
        <w:t xml:space="preserve"> 1775 and learn lessons that will help us choose the proper course ahead.</w:t>
      </w:r>
    </w:p>
    <w:p w:rsidR="00670995" w:rsidRDefault="00670995" w:rsidP="00670995">
      <w:pPr>
        <w:jc w:val="both"/>
      </w:pPr>
      <w:r>
        <w:t xml:space="preserve">   When faced with the elimination of the Articles of Confederation and the institution of the Constitution, many delegates feared for the individual liberties of citizens and the sovereignty of their states and so they insisted on the passage of an enumeration of men’s God given rights and the rights of the states forming the union. Let’s look at the Bill of Rights and some of the real world experiences that very well may have impressed the Founder’s opinions.</w:t>
      </w:r>
    </w:p>
    <w:p w:rsidR="00F95823" w:rsidRDefault="00670995" w:rsidP="00670995">
      <w:pPr>
        <w:pStyle w:val="ListParagraph"/>
        <w:numPr>
          <w:ilvl w:val="0"/>
          <w:numId w:val="1"/>
        </w:numPr>
        <w:jc w:val="both"/>
      </w:pPr>
      <w:r w:rsidRPr="00F95823">
        <w:rPr>
          <w:color w:val="FF0000"/>
        </w:rPr>
        <w:t>Congress shall make no law respecting an establish</w:t>
      </w:r>
      <w:r w:rsidR="00454DA9" w:rsidRPr="00F95823">
        <w:rPr>
          <w:color w:val="FF0000"/>
        </w:rPr>
        <w:t>ment of religion, or prohibiting the free exercise thereof;</w:t>
      </w:r>
      <w:r w:rsidR="00454DA9">
        <w:t xml:space="preserve"> Many of the colonists forebears had fled religious persecution or had watch</w:t>
      </w:r>
      <w:r w:rsidR="00ED6495">
        <w:t>ed</w:t>
      </w:r>
      <w:r w:rsidR="00454DA9">
        <w:t xml:space="preserve"> me</w:t>
      </w:r>
      <w:r w:rsidR="00A615E0">
        <w:t>n of power</w:t>
      </w:r>
      <w:r w:rsidR="00454DA9">
        <w:t xml:space="preserve"> destroy the lives </w:t>
      </w:r>
      <w:r w:rsidR="00936672">
        <w:t>and fortunes of countess people</w:t>
      </w:r>
      <w:r w:rsidR="00A615E0">
        <w:t xml:space="preserve">, and they therefore forbade the Congress from even broaching </w:t>
      </w:r>
      <w:r w:rsidR="00ED6495">
        <w:t>the topic as it is better debated</w:t>
      </w:r>
      <w:r w:rsidR="00A615E0">
        <w:t xml:space="preserve"> in a state or local legislature. All the colonies had a state religion</w:t>
      </w:r>
      <w:r w:rsidR="00A615E0">
        <w:rPr>
          <w:rStyle w:val="EndnoteReference"/>
        </w:rPr>
        <w:endnoteReference w:id="-1"/>
      </w:r>
      <w:r w:rsidR="00A615E0">
        <w:t xml:space="preserve"> and many had religious requirements</w:t>
      </w:r>
      <w:r w:rsidR="00B54973">
        <w:t xml:space="preserve"> to hold office, so they did not reject the expressions of religion as a state but merely desired to keep control at a more local level.</w:t>
      </w:r>
      <w:r w:rsidR="00213807">
        <w:t xml:space="preserve"> </w:t>
      </w:r>
      <w:proofErr w:type="gramStart"/>
      <w:r w:rsidR="00213807" w:rsidRPr="00F95823">
        <w:rPr>
          <w:color w:val="FF0000"/>
        </w:rPr>
        <w:t>or</w:t>
      </w:r>
      <w:proofErr w:type="gramEnd"/>
      <w:r w:rsidR="00213807" w:rsidRPr="00F95823">
        <w:rPr>
          <w:color w:val="FF0000"/>
        </w:rPr>
        <w:t xml:space="preserve"> abridging the freedom of speech, or of the press;</w:t>
      </w:r>
      <w:r w:rsidR="00213807">
        <w:t xml:space="preserve"> In a self gov</w:t>
      </w:r>
      <w:r w:rsidR="00ED6495">
        <w:t>erned society, the free transmiss</w:t>
      </w:r>
      <w:r w:rsidR="00213807">
        <w:t xml:space="preserve">ion of political speech is critical. The Boston </w:t>
      </w:r>
      <w:r w:rsidR="00B54973">
        <w:t>press was a target</w:t>
      </w:r>
      <w:r w:rsidR="00213807">
        <w:t xml:space="preserve"> of persecution.</w:t>
      </w:r>
      <w:r w:rsidR="00213807">
        <w:rPr>
          <w:rStyle w:val="EndnoteReference"/>
        </w:rPr>
        <w:endnoteReference w:id="0"/>
      </w:r>
      <w:r w:rsidR="00575EAD">
        <w:t xml:space="preserve"> </w:t>
      </w:r>
      <w:proofErr w:type="gramStart"/>
      <w:r w:rsidR="00575EAD" w:rsidRPr="00F95823">
        <w:rPr>
          <w:color w:val="FF0000"/>
        </w:rPr>
        <w:t>or</w:t>
      </w:r>
      <w:proofErr w:type="gramEnd"/>
      <w:r w:rsidR="00575EAD" w:rsidRPr="00F95823">
        <w:rPr>
          <w:color w:val="FF0000"/>
        </w:rPr>
        <w:t xml:space="preserve"> the right of the people peaceably to assemble, and to petition the Government for a redress of grievances.</w:t>
      </w:r>
      <w:r w:rsidR="00C80C81" w:rsidRPr="00F95823">
        <w:rPr>
          <w:color w:val="FF0000"/>
        </w:rPr>
        <w:t xml:space="preserve"> </w:t>
      </w:r>
      <w:r w:rsidR="00C80C81" w:rsidRPr="00C80C81">
        <w:t>The result of petitioning from the colonists was often disbandment of their legislatures.</w:t>
      </w:r>
      <w:r w:rsidR="00C80C81" w:rsidRPr="00C80C81">
        <w:rPr>
          <w:rStyle w:val="EndnoteReference"/>
        </w:rPr>
        <w:endnoteReference w:id="1"/>
      </w:r>
    </w:p>
    <w:p w:rsidR="00C56214" w:rsidRDefault="000C49DE" w:rsidP="00670995">
      <w:pPr>
        <w:pStyle w:val="ListParagraph"/>
        <w:numPr>
          <w:ilvl w:val="0"/>
          <w:numId w:val="1"/>
        </w:numPr>
        <w:jc w:val="both"/>
      </w:pPr>
      <w:r>
        <w:t xml:space="preserve"> </w:t>
      </w:r>
      <w:r w:rsidR="00655A55" w:rsidRPr="00F95823">
        <w:rPr>
          <w:color w:val="FF0000"/>
        </w:rPr>
        <w:t xml:space="preserve">A </w:t>
      </w:r>
      <w:r w:rsidR="00C34EA1" w:rsidRPr="00F95823">
        <w:rPr>
          <w:color w:val="FF0000"/>
        </w:rPr>
        <w:t>well-regulated</w:t>
      </w:r>
      <w:r w:rsidR="00655A55" w:rsidRPr="00F95823">
        <w:rPr>
          <w:color w:val="FF0000"/>
        </w:rPr>
        <w:t xml:space="preserve"> Militia being necessary to the security of a free State,</w:t>
      </w:r>
      <w:r w:rsidR="00C56214">
        <w:t xml:space="preserve"> </w:t>
      </w:r>
      <w:r w:rsidR="00655A55">
        <w:t>This statement shows a firm belief that the people ought to be armed and proficient enough to provide not just public</w:t>
      </w:r>
      <w:r w:rsidR="00B54973">
        <w:t xml:space="preserve"> safety but the security of their </w:t>
      </w:r>
      <w:r w:rsidR="00655A55">
        <w:t xml:space="preserve">individual states also. </w:t>
      </w:r>
      <w:proofErr w:type="gramStart"/>
      <w:r w:rsidR="00655A55" w:rsidRPr="00F95823">
        <w:rPr>
          <w:color w:val="FF0000"/>
        </w:rPr>
        <w:t>the</w:t>
      </w:r>
      <w:proofErr w:type="gramEnd"/>
      <w:r w:rsidR="00655A55" w:rsidRPr="00F95823">
        <w:rPr>
          <w:color w:val="FF0000"/>
        </w:rPr>
        <w:t xml:space="preserve"> right of the people to keep and bear arms shall </w:t>
      </w:r>
      <w:r w:rsidR="00C56214" w:rsidRPr="00F95823">
        <w:rPr>
          <w:color w:val="FF0000"/>
        </w:rPr>
        <w:t>not be infringed.</w:t>
      </w:r>
      <w:r w:rsidR="00B54973" w:rsidRPr="00F95823">
        <w:rPr>
          <w:color w:val="FF0000"/>
        </w:rPr>
        <w:t xml:space="preserve"> </w:t>
      </w:r>
      <w:r w:rsidR="00B54973" w:rsidRPr="00B54973">
        <w:t>This half of the amendment</w:t>
      </w:r>
      <w:r w:rsidR="00B54973" w:rsidRPr="00F95823">
        <w:rPr>
          <w:color w:val="FF0000"/>
        </w:rPr>
        <w:t xml:space="preserve"> </w:t>
      </w:r>
      <w:r w:rsidR="00B54973">
        <w:t>prohibits government at any level to restrict man’s right</w:t>
      </w:r>
      <w:r w:rsidR="00C34EA1" w:rsidRPr="00C34EA1">
        <w:t xml:space="preserve"> </w:t>
      </w:r>
      <w:r w:rsidR="00C34EA1">
        <w:t xml:space="preserve">to protect </w:t>
      </w:r>
      <w:proofErr w:type="gramStart"/>
      <w:r w:rsidR="00C34EA1">
        <w:t>himself</w:t>
      </w:r>
      <w:proofErr w:type="gramEnd"/>
      <w:r w:rsidR="00B54973">
        <w:t xml:space="preserve"> and duty</w:t>
      </w:r>
      <w:r w:rsidR="00C34EA1">
        <w:t xml:space="preserve"> to protect what is his and his state</w:t>
      </w:r>
      <w:r w:rsidR="00B54973">
        <w:t>.</w:t>
      </w:r>
      <w:r w:rsidR="00C56214" w:rsidRPr="00B54973">
        <w:t xml:space="preserve"> </w:t>
      </w:r>
      <w:r w:rsidR="00C56214">
        <w:t>It was, after all, General Gage</w:t>
      </w:r>
      <w:r w:rsidR="00C34EA1">
        <w:t>’</w:t>
      </w:r>
      <w:r w:rsidR="00C56214">
        <w:t>s attempts to disarm the colonists that triggered the fighting part of the war.</w:t>
      </w:r>
    </w:p>
    <w:p w:rsidR="00B961C9" w:rsidRDefault="00C56214" w:rsidP="00670995">
      <w:pPr>
        <w:pStyle w:val="ListParagraph"/>
        <w:numPr>
          <w:ilvl w:val="0"/>
          <w:numId w:val="1"/>
        </w:numPr>
        <w:jc w:val="both"/>
      </w:pPr>
      <w:r w:rsidRPr="00C56214">
        <w:rPr>
          <w:color w:val="FF0000"/>
        </w:rPr>
        <w:t>No soldier shall, in time of peace be quartered in any house, without the consent of the Owner, nor in time of war, but in a manner to be prescribed by law.</w:t>
      </w:r>
      <w:r>
        <w:t xml:space="preserve"> Visions of the Quartering Act and all the problems pursuant to that sort of arrangement are easy to imagine.</w:t>
      </w:r>
    </w:p>
    <w:p w:rsidR="00991FDE" w:rsidRPr="00991FDE" w:rsidRDefault="004D18D5" w:rsidP="00670995">
      <w:pPr>
        <w:pStyle w:val="ListParagraph"/>
        <w:numPr>
          <w:ilvl w:val="0"/>
          <w:numId w:val="1"/>
        </w:numPr>
        <w:jc w:val="both"/>
        <w:rPr>
          <w:color w:val="FF0000"/>
        </w:rPr>
      </w:pPr>
      <w:r w:rsidRPr="004E17BA">
        <w:rPr>
          <w:color w:val="FF0000"/>
        </w:rPr>
        <w:t>The right of the people to be secure in their persons, houses, papers, and effects, against unreasonable searches and seizures, shall not be violated</w:t>
      </w:r>
      <w:proofErr w:type="gramStart"/>
      <w:r w:rsidR="00F61680" w:rsidRPr="004E17BA">
        <w:rPr>
          <w:color w:val="FF0000"/>
        </w:rPr>
        <w:t>,</w:t>
      </w:r>
      <w:r w:rsidR="00944B89">
        <w:t xml:space="preserve">  </w:t>
      </w:r>
      <w:r w:rsidR="006F2FF8">
        <w:t>Due</w:t>
      </w:r>
      <w:proofErr w:type="gramEnd"/>
      <w:r w:rsidR="006F2FF8">
        <w:t xml:space="preserve"> process of the law was an idea with roots to the Magna </w:t>
      </w:r>
      <w:proofErr w:type="spellStart"/>
      <w:r w:rsidR="006F2FF8">
        <w:t>Carta</w:t>
      </w:r>
      <w:proofErr w:type="spellEnd"/>
      <w:r w:rsidR="006F2FF8">
        <w:t xml:space="preserve"> and formed to become the “Rights of Englishmen”. </w:t>
      </w:r>
      <w:r w:rsidR="00944B89">
        <w:t xml:space="preserve">The </w:t>
      </w:r>
      <w:r w:rsidR="00F61680">
        <w:t xml:space="preserve">Founders </w:t>
      </w:r>
      <w:r w:rsidR="006F2FF8">
        <w:t xml:space="preserve">well understood these rights as they routinely </w:t>
      </w:r>
      <w:r w:rsidR="00F61680">
        <w:t xml:space="preserve">suffered under the Regular Officers who had </w:t>
      </w:r>
      <w:r w:rsidR="004E17BA">
        <w:t xml:space="preserve">vested themselves with three distinct powers of the state, that of judge, jury, and executioner. </w:t>
      </w:r>
      <w:r w:rsidR="003A0025">
        <w:t>The night of April 18</w:t>
      </w:r>
      <w:r w:rsidR="003A0025" w:rsidRPr="003A0025">
        <w:rPr>
          <w:vertAlign w:val="superscript"/>
        </w:rPr>
        <w:t>th</w:t>
      </w:r>
      <w:r w:rsidR="003A0025">
        <w:t xml:space="preserve"> the roads around Boston and Lexington were canvassed by officers ordered to arrest any out at night who looked suspicious so they get to decide who to stop, who to search, where to search, and weigh the collected evidence to determine guilt and </w:t>
      </w:r>
      <w:r w:rsidR="00944B89">
        <w:t>confiscate</w:t>
      </w:r>
      <w:r w:rsidR="003A0025">
        <w:t xml:space="preserve"> or destroy property if they deemed necessary</w:t>
      </w:r>
      <w:r w:rsidR="00991FDE">
        <w:rPr>
          <w:rStyle w:val="EndnoteReference"/>
        </w:rPr>
        <w:endnoteReference w:id="2"/>
      </w:r>
      <w:r w:rsidR="003A0025">
        <w:t>. Furthermore if persons were armed when stopped they may well be shot</w:t>
      </w:r>
      <w:r w:rsidR="004F1C33">
        <w:rPr>
          <w:rStyle w:val="EndnoteReference"/>
        </w:rPr>
        <w:endnoteReference w:id="3"/>
      </w:r>
      <w:r w:rsidR="004F1C33">
        <w:t xml:space="preserve"> as was Abel Prescott.</w:t>
      </w:r>
      <w:r w:rsidR="00991FDE">
        <w:t xml:space="preserve"> </w:t>
      </w:r>
      <w:proofErr w:type="gramStart"/>
      <w:r w:rsidR="00991FDE" w:rsidRPr="00991FDE">
        <w:rPr>
          <w:color w:val="FF0000"/>
        </w:rPr>
        <w:t>and</w:t>
      </w:r>
      <w:proofErr w:type="gramEnd"/>
      <w:r w:rsidR="00991FDE" w:rsidRPr="00991FDE">
        <w:rPr>
          <w:color w:val="FF0000"/>
        </w:rPr>
        <w:t xml:space="preserve"> no Warrants shall issue, but upon probable cause, supported by oath or affirmation and particularly describing the place to be searched, and the persons or things to be seized.</w:t>
      </w:r>
      <w:r w:rsidR="00991FDE">
        <w:rPr>
          <w:color w:val="FF0000"/>
        </w:rPr>
        <w:t xml:space="preserve"> </w:t>
      </w:r>
      <w:r w:rsidR="00991FDE">
        <w:t>The Founders felt it prudent that evidence be submitted to an elected judge who then decides probable cause and defines the limits of who what where, as this was the best method to maintain individual liberty during the interactions of officer of the state and the citizen.</w:t>
      </w:r>
    </w:p>
    <w:p w:rsidR="003815AC" w:rsidRDefault="00D10972" w:rsidP="00670995">
      <w:pPr>
        <w:pStyle w:val="ListParagraph"/>
        <w:numPr>
          <w:ilvl w:val="0"/>
          <w:numId w:val="1"/>
        </w:numPr>
        <w:jc w:val="both"/>
      </w:pPr>
      <w:r>
        <w:rPr>
          <w:color w:val="FF0000"/>
        </w:rPr>
        <w:t>No person shall be held</w:t>
      </w:r>
      <w:r>
        <w:t xml:space="preserve"> </w:t>
      </w:r>
      <w:r w:rsidRPr="00D10972">
        <w:rPr>
          <w:color w:val="FF0000"/>
        </w:rPr>
        <w:t>to answer</w:t>
      </w:r>
      <w:r>
        <w:rPr>
          <w:color w:val="FF0000"/>
        </w:rPr>
        <w:t xml:space="preserve"> for a capital or otherwise infamous crime, unless on a presentment or indictment of a Grand Jury, </w:t>
      </w:r>
      <w:r w:rsidRPr="00D10972">
        <w:t>The</w:t>
      </w:r>
      <w:r>
        <w:t xml:space="preserve"> Founders saw the Crown take control of the judges of the country</w:t>
      </w:r>
      <w:r>
        <w:rPr>
          <w:rStyle w:val="EndnoteReference"/>
        </w:rPr>
        <w:endnoteReference w:id="4"/>
      </w:r>
      <w:r w:rsidR="00EA2CBD">
        <w:t xml:space="preserve"> and decided it’s best for indictments to come from a jury. </w:t>
      </w:r>
      <w:proofErr w:type="gramStart"/>
      <w:r w:rsidR="00EA2CBD">
        <w:rPr>
          <w:color w:val="FF0000"/>
        </w:rPr>
        <w:t>except</w:t>
      </w:r>
      <w:proofErr w:type="gramEnd"/>
      <w:r w:rsidR="00EA2CBD">
        <w:rPr>
          <w:color w:val="FF0000"/>
        </w:rPr>
        <w:t xml:space="preserve"> in c</w:t>
      </w:r>
      <w:r w:rsidR="00C34EA1">
        <w:rPr>
          <w:color w:val="FF0000"/>
        </w:rPr>
        <w:t>ases arising in the land or nava</w:t>
      </w:r>
      <w:r w:rsidR="00EA2CBD">
        <w:rPr>
          <w:color w:val="FF0000"/>
        </w:rPr>
        <w:t xml:space="preserve">l forces, </w:t>
      </w:r>
      <w:r w:rsidR="00EA2CBD">
        <w:t xml:space="preserve">Of course the standing military forces need their own internal judicial system. </w:t>
      </w:r>
      <w:proofErr w:type="gramStart"/>
      <w:r w:rsidR="00EA2CBD">
        <w:rPr>
          <w:color w:val="FF0000"/>
        </w:rPr>
        <w:t>or</w:t>
      </w:r>
      <w:proofErr w:type="gramEnd"/>
      <w:r w:rsidR="00EA2CBD">
        <w:rPr>
          <w:color w:val="FF0000"/>
        </w:rPr>
        <w:t xml:space="preserve"> in the Militia, when in actual service in time of war or public danger; </w:t>
      </w:r>
      <w:r w:rsidR="00EA2CBD">
        <w:t>The militias themselves would also need their own internal judicial system if ever they were in actual service.</w:t>
      </w:r>
      <w:r w:rsidR="0060430A">
        <w:t xml:space="preserve"> </w:t>
      </w:r>
      <w:proofErr w:type="gramStart"/>
      <w:r w:rsidR="0060430A">
        <w:rPr>
          <w:color w:val="FF0000"/>
        </w:rPr>
        <w:t>nor</w:t>
      </w:r>
      <w:proofErr w:type="gramEnd"/>
      <w:r w:rsidR="0060430A">
        <w:rPr>
          <w:color w:val="FF0000"/>
        </w:rPr>
        <w:t xml:space="preserve"> shall any person be subject for the same offence to be twice put in jeopardy of life or limb; nor shall be compelled in any criminal case to be a witness against himself, without due process of law; nor shall private property be taken for public use, without just compensation. </w:t>
      </w:r>
      <w:r w:rsidR="004B1CEF" w:rsidRPr="004B1CEF">
        <w:t xml:space="preserve">Due process </w:t>
      </w:r>
      <w:r w:rsidR="004B1CEF">
        <w:t xml:space="preserve">was evidently well developed as these particulars were all listed separately </w:t>
      </w:r>
      <w:r w:rsidR="003815AC">
        <w:t>and the sense of God given and not just derived from man’s consent can be seen especially in the final clause, that even for the common good a property cannot simply be taken.</w:t>
      </w:r>
    </w:p>
    <w:p w:rsidR="00BA59E8" w:rsidRDefault="003815AC" w:rsidP="00670995">
      <w:pPr>
        <w:pStyle w:val="ListParagraph"/>
        <w:numPr>
          <w:ilvl w:val="0"/>
          <w:numId w:val="1"/>
        </w:numPr>
        <w:jc w:val="both"/>
      </w:pPr>
      <w:r>
        <w:rPr>
          <w:color w:val="FF0000"/>
        </w:rPr>
        <w:t xml:space="preserve">In all criminal prosecutions, the accused shall enjoy the right to a speedy and public trial, by an impartial jury of the state and district wherein the crime shall have been committed, which district shall have previously ascertained by law, </w:t>
      </w:r>
      <w:r w:rsidR="00C34EA1">
        <w:t>Many colonists were sent</w:t>
      </w:r>
      <w:r>
        <w:t xml:space="preserve"> </w:t>
      </w:r>
      <w:r w:rsidR="007F7A7E">
        <w:t>overseas</w:t>
      </w:r>
      <w:r>
        <w:t xml:space="preserve"> to be tried if at all</w:t>
      </w:r>
      <w:r>
        <w:rPr>
          <w:rStyle w:val="EndnoteReference"/>
        </w:rPr>
        <w:endnoteReference w:id="5"/>
      </w:r>
      <w:r w:rsidR="007F7A7E">
        <w:t>. This was</w:t>
      </w:r>
      <w:r>
        <w:t xml:space="preserve"> a</w:t>
      </w:r>
      <w:r w:rsidR="007F7A7E">
        <w:t xml:space="preserve"> lengthy process as sail ships were the</w:t>
      </w:r>
      <w:r>
        <w:t xml:space="preserve"> mode of transport.</w:t>
      </w:r>
      <w:r w:rsidR="007F7A7E">
        <w:t xml:space="preserve"> </w:t>
      </w:r>
      <w:proofErr w:type="gramStart"/>
      <w:r w:rsidR="007F7A7E">
        <w:rPr>
          <w:color w:val="FF0000"/>
        </w:rPr>
        <w:t>and</w:t>
      </w:r>
      <w:proofErr w:type="gramEnd"/>
      <w:r w:rsidR="007F7A7E">
        <w:rPr>
          <w:color w:val="FF0000"/>
        </w:rPr>
        <w:t xml:space="preserve"> to be informed of the nature and cause of the accusation; to be confronted with the witnesses against him; to have compulsory process with for obtaining witnesses in his favor, and to have the Assistance of Counsel for his </w:t>
      </w:r>
      <w:proofErr w:type="spellStart"/>
      <w:r w:rsidR="007F7A7E">
        <w:rPr>
          <w:color w:val="FF0000"/>
        </w:rPr>
        <w:t>defence</w:t>
      </w:r>
      <w:proofErr w:type="spellEnd"/>
      <w:r w:rsidR="007F7A7E">
        <w:rPr>
          <w:color w:val="FF0000"/>
        </w:rPr>
        <w:t>.</w:t>
      </w:r>
      <w:r w:rsidR="00BA59E8">
        <w:rPr>
          <w:color w:val="FF0000"/>
        </w:rPr>
        <w:t xml:space="preserve"> </w:t>
      </w:r>
      <w:r w:rsidR="00BA59E8">
        <w:t>These clauses eliminate any prosecuting body’s attempts to circumvent due process.</w:t>
      </w:r>
    </w:p>
    <w:p w:rsidR="000315B4" w:rsidRDefault="00BA59E8" w:rsidP="00670995">
      <w:pPr>
        <w:pStyle w:val="ListParagraph"/>
        <w:numPr>
          <w:ilvl w:val="0"/>
          <w:numId w:val="1"/>
        </w:numPr>
        <w:jc w:val="both"/>
        <w:rPr>
          <w:color w:val="FF0000"/>
        </w:rPr>
      </w:pPr>
      <w:r w:rsidRPr="000315B4">
        <w:rPr>
          <w:color w:val="FF0000"/>
        </w:rPr>
        <w:t xml:space="preserve">In Suits at common law, where the value in controversy shall exceed twenty dollars, the right of trial </w:t>
      </w:r>
      <w:r w:rsidR="002307E2" w:rsidRPr="000315B4">
        <w:rPr>
          <w:color w:val="FF0000"/>
        </w:rPr>
        <w:t>by jury shall be preserved, and no fact tried by a jury, shall be otherwise re-examined in any court of the United States, than according to the rules of the common law.</w:t>
      </w:r>
      <w:r w:rsidR="006111C3" w:rsidRPr="000315B4">
        <w:rPr>
          <w:color w:val="FF0000"/>
        </w:rPr>
        <w:t xml:space="preserve"> </w:t>
      </w:r>
    </w:p>
    <w:p w:rsidR="000315B4" w:rsidRPr="006111C3" w:rsidRDefault="000315B4" w:rsidP="000315B4">
      <w:pPr>
        <w:pStyle w:val="ListParagraph"/>
        <w:numPr>
          <w:ilvl w:val="0"/>
          <w:numId w:val="1"/>
        </w:numPr>
        <w:jc w:val="both"/>
      </w:pPr>
      <w:r w:rsidRPr="000315B4">
        <w:rPr>
          <w:color w:val="FF0000"/>
        </w:rPr>
        <w:t>Excessive bail shall not be required, nor excessive fines imposed, nor cruel and unusual punishments inflicted.</w:t>
      </w:r>
      <w:r w:rsidRPr="000315B4">
        <w:t xml:space="preserve"> </w:t>
      </w:r>
      <w:r w:rsidRPr="006111C3">
        <w:t xml:space="preserve">Excessive bail </w:t>
      </w:r>
      <w:r>
        <w:t>would be imprisonment without trial and tar and feather would be an unusual punishment.</w:t>
      </w:r>
    </w:p>
    <w:p w:rsidR="000315B4" w:rsidRDefault="000315B4" w:rsidP="00670995">
      <w:pPr>
        <w:pStyle w:val="ListParagraph"/>
        <w:numPr>
          <w:ilvl w:val="0"/>
          <w:numId w:val="1"/>
        </w:numPr>
        <w:jc w:val="both"/>
        <w:rPr>
          <w:color w:val="FF0000"/>
        </w:rPr>
      </w:pPr>
      <w:r>
        <w:rPr>
          <w:color w:val="FF0000"/>
        </w:rPr>
        <w:t>The enumeration in the Constitution, of certain rights, shall not be construed to deny or disparage others retained by the people.</w:t>
      </w:r>
    </w:p>
    <w:p w:rsidR="00F95823" w:rsidRDefault="000315B4" w:rsidP="00F95823">
      <w:pPr>
        <w:pStyle w:val="ListParagraph"/>
        <w:numPr>
          <w:ilvl w:val="0"/>
          <w:numId w:val="1"/>
        </w:numPr>
        <w:jc w:val="both"/>
      </w:pPr>
      <w:r>
        <w:rPr>
          <w:color w:val="FF0000"/>
        </w:rPr>
        <w:t>The powers not delegated to the United States by the Constitution, nor prohibited by it to the States, are reserved to the States res</w:t>
      </w:r>
      <w:r w:rsidR="00CB10D8">
        <w:rPr>
          <w:color w:val="FF0000"/>
        </w:rPr>
        <w:t>p</w:t>
      </w:r>
      <w:r>
        <w:rPr>
          <w:color w:val="FF0000"/>
        </w:rPr>
        <w:t>ectively, or to the people.</w:t>
      </w:r>
      <w:r w:rsidR="00CB10D8">
        <w:rPr>
          <w:color w:val="FF0000"/>
        </w:rPr>
        <w:t xml:space="preserve"> </w:t>
      </w:r>
      <w:r w:rsidR="00CB10D8">
        <w:t xml:space="preserve">These last two are a final protection of the individual’s rights, binding the </w:t>
      </w:r>
      <w:r w:rsidR="00282746">
        <w:t xml:space="preserve">federal </w:t>
      </w:r>
      <w:r w:rsidR="00CB10D8">
        <w:t>government’s power to only those listed.</w:t>
      </w:r>
      <w:r w:rsidR="00F95823">
        <w:t xml:space="preserve"> </w:t>
      </w:r>
    </w:p>
    <w:p w:rsidR="00AB29A4" w:rsidRDefault="00F95823" w:rsidP="00B771C6">
      <w:pPr>
        <w:pStyle w:val="ListParagraph"/>
        <w:ind w:left="0"/>
        <w:jc w:val="both"/>
      </w:pPr>
      <w:r>
        <w:t>Remember that these rights come from God and as such laws prohibiting indecency in public or causing mayhem (such as yelling fire in a crowded building) are not reasonable restrictions on a right, but rather they are good laws based on the Decalogue. You have no right to do the immoral.</w:t>
      </w:r>
    </w:p>
    <w:p w:rsidR="00374EC3" w:rsidRDefault="00282746" w:rsidP="00B771C6">
      <w:pPr>
        <w:pStyle w:val="ListParagraph"/>
        <w:ind w:left="0"/>
        <w:jc w:val="both"/>
        <w:rPr>
          <w:iCs/>
        </w:rPr>
      </w:pPr>
      <w:r>
        <w:t xml:space="preserve">   T</w:t>
      </w:r>
      <w:r w:rsidR="00AB29A4">
        <w:t xml:space="preserve">he colonists </w:t>
      </w:r>
      <w:r>
        <w:t xml:space="preserve">who fought thought of it more </w:t>
      </w:r>
      <w:r w:rsidR="00AB29A4">
        <w:t>as a War of Independence,</w:t>
      </w:r>
      <w:r>
        <w:t xml:space="preserve"> more</w:t>
      </w:r>
      <w:r w:rsidR="00AB29A4">
        <w:t xml:space="preserve"> to protect what they had and believed rather than to revolt or radically change anything. They kept their social structures</w:t>
      </w:r>
      <w:r>
        <w:t xml:space="preserve"> and religion</w:t>
      </w:r>
      <w:r w:rsidR="00AB29A4">
        <w:t>, the provinci</w:t>
      </w:r>
      <w:r w:rsidR="006B1554">
        <w:t>al legislatures</w:t>
      </w:r>
      <w:r w:rsidR="006B1554">
        <w:rPr>
          <w:rStyle w:val="EndnoteReference"/>
        </w:rPr>
        <w:endnoteReference w:id="6"/>
      </w:r>
      <w:r w:rsidR="00AB29A4">
        <w:t>, their town electoral processes including the election of officers</w:t>
      </w:r>
      <w:r w:rsidR="00AB29A4">
        <w:rPr>
          <w:rStyle w:val="EndnoteReference"/>
        </w:rPr>
        <w:endnoteReference w:id="7"/>
      </w:r>
      <w:r w:rsidR="00AB29A4">
        <w:t xml:space="preserve">, and their old-fashioned idea of covenants in forming their militias. </w:t>
      </w:r>
      <w:r w:rsidR="006B1554">
        <w:t>Their militias were “explicitly founded to defend a way of life”</w:t>
      </w:r>
      <w:r w:rsidR="006B1554">
        <w:rPr>
          <w:rStyle w:val="EndnoteReference"/>
        </w:rPr>
        <w:endnoteReference w:id="8"/>
      </w:r>
      <w:r w:rsidR="006B1554">
        <w:t xml:space="preserve">, for some a 200 year old way of life. Captain Preston </w:t>
      </w:r>
      <w:r w:rsidR="00AD2313">
        <w:t>of Danvers says it perfectly when interviewed years later. The interview goes like this:</w:t>
      </w:r>
      <w:r w:rsidR="00374EC3" w:rsidRPr="00374EC3">
        <w:rPr>
          <w:iCs/>
          <w:sz w:val="18"/>
        </w:rPr>
        <w:t xml:space="preserve"> </w:t>
      </w:r>
    </w:p>
    <w:p w:rsidR="00374EC3" w:rsidRPr="00374EC3" w:rsidRDefault="00374EC3" w:rsidP="00B771C6">
      <w:pPr>
        <w:pStyle w:val="ListParagraph"/>
        <w:ind w:left="0"/>
        <w:jc w:val="both"/>
        <w:rPr>
          <w:iCs/>
          <w:sz w:val="18"/>
        </w:rPr>
      </w:pPr>
      <w:r>
        <w:rPr>
          <w:iCs/>
        </w:rPr>
        <w:t>“</w:t>
      </w:r>
      <w:r w:rsidRPr="00374EC3">
        <w:rPr>
          <w:iCs/>
        </w:rPr>
        <w:t>Captain Preston, what made you go to the Concord Fight [on 19 April 1775]?"</w:t>
      </w:r>
    </w:p>
    <w:p w:rsidR="00374EC3" w:rsidRPr="00374EC3" w:rsidRDefault="00374EC3" w:rsidP="00B771C6">
      <w:pPr>
        <w:pStyle w:val="ListParagraph"/>
        <w:ind w:left="0"/>
        <w:jc w:val="both"/>
        <w:rPr>
          <w:iCs/>
        </w:rPr>
      </w:pPr>
      <w:r w:rsidRPr="00374EC3">
        <w:rPr>
          <w:iCs/>
        </w:rPr>
        <w:t xml:space="preserve">"What did I go for?" </w:t>
      </w:r>
    </w:p>
    <w:p w:rsidR="00374EC3" w:rsidRPr="00374EC3" w:rsidRDefault="00374EC3" w:rsidP="00B771C6">
      <w:pPr>
        <w:pStyle w:val="ListParagraph"/>
        <w:ind w:left="0"/>
        <w:jc w:val="both"/>
        <w:rPr>
          <w:iCs/>
        </w:rPr>
      </w:pPr>
      <w:r w:rsidRPr="00374EC3">
        <w:rPr>
          <w:iCs/>
        </w:rPr>
        <w:t xml:space="preserve">"...Were you oppressed by the Stamp Act?" </w:t>
      </w:r>
    </w:p>
    <w:p w:rsidR="00374EC3" w:rsidRPr="00374EC3" w:rsidRDefault="00374EC3" w:rsidP="00B771C6">
      <w:pPr>
        <w:pStyle w:val="ListParagraph"/>
        <w:ind w:left="0"/>
        <w:jc w:val="both"/>
        <w:rPr>
          <w:iCs/>
        </w:rPr>
      </w:pPr>
      <w:r w:rsidRPr="00374EC3">
        <w:rPr>
          <w:iCs/>
        </w:rPr>
        <w:t xml:space="preserve">"I never saw any stamps, and I always understood that none were ever sold." </w:t>
      </w:r>
    </w:p>
    <w:p w:rsidR="00374EC3" w:rsidRPr="00374EC3" w:rsidRDefault="00374EC3" w:rsidP="00B771C6">
      <w:pPr>
        <w:pStyle w:val="ListParagraph"/>
        <w:ind w:left="0"/>
        <w:jc w:val="both"/>
        <w:rPr>
          <w:iCs/>
        </w:rPr>
      </w:pPr>
      <w:r w:rsidRPr="00374EC3">
        <w:rPr>
          <w:iCs/>
        </w:rPr>
        <w:t xml:space="preserve">"Well, what about the tea tax? </w:t>
      </w:r>
    </w:p>
    <w:p w:rsidR="00374EC3" w:rsidRPr="00374EC3" w:rsidRDefault="00374EC3" w:rsidP="00B771C6">
      <w:pPr>
        <w:pStyle w:val="ListParagraph"/>
        <w:ind w:left="0"/>
        <w:jc w:val="both"/>
        <w:rPr>
          <w:iCs/>
        </w:rPr>
      </w:pPr>
      <w:r w:rsidRPr="00374EC3">
        <w:rPr>
          <w:iCs/>
        </w:rPr>
        <w:t xml:space="preserve">"Tea tax, I never drank a drop of the stuff, the boys threw it all overboard." </w:t>
      </w:r>
    </w:p>
    <w:p w:rsidR="00374EC3" w:rsidRPr="00374EC3" w:rsidRDefault="00374EC3" w:rsidP="00B771C6">
      <w:pPr>
        <w:pStyle w:val="ListParagraph"/>
        <w:ind w:left="0"/>
        <w:jc w:val="both"/>
        <w:rPr>
          <w:iCs/>
        </w:rPr>
      </w:pPr>
      <w:r w:rsidRPr="00374EC3">
        <w:rPr>
          <w:iCs/>
        </w:rPr>
        <w:t xml:space="preserve">"But I suppose you have been reading Harrington, Sidney, and Locke about the eternal principle of liberty?" </w:t>
      </w:r>
    </w:p>
    <w:p w:rsidR="00374EC3" w:rsidRPr="00374EC3" w:rsidRDefault="00374EC3" w:rsidP="00B771C6">
      <w:pPr>
        <w:pStyle w:val="ListParagraph"/>
        <w:ind w:left="0"/>
        <w:jc w:val="both"/>
        <w:rPr>
          <w:iCs/>
        </w:rPr>
      </w:pPr>
      <w:r w:rsidRPr="00374EC3">
        <w:rPr>
          <w:iCs/>
        </w:rPr>
        <w:t xml:space="preserve">"I never heard of these men. The only books we had were the Bible, the Catechism, Watts' psalms and hymns and the almanacs." </w:t>
      </w:r>
    </w:p>
    <w:p w:rsidR="00374EC3" w:rsidRPr="00374EC3" w:rsidRDefault="00374EC3" w:rsidP="00B771C6">
      <w:pPr>
        <w:pStyle w:val="ListParagraph"/>
        <w:ind w:left="0"/>
        <w:jc w:val="both"/>
        <w:rPr>
          <w:iCs/>
        </w:rPr>
      </w:pPr>
      <w:r w:rsidRPr="00374EC3">
        <w:rPr>
          <w:iCs/>
        </w:rPr>
        <w:t xml:space="preserve">"Well, then, what was the matter?" </w:t>
      </w:r>
    </w:p>
    <w:p w:rsidR="00374EC3" w:rsidRPr="00374EC3" w:rsidRDefault="00374EC3" w:rsidP="00B771C6">
      <w:pPr>
        <w:pStyle w:val="ListParagraph"/>
        <w:ind w:left="0"/>
        <w:jc w:val="both"/>
      </w:pPr>
      <w:r w:rsidRPr="00374EC3">
        <w:rPr>
          <w:iCs/>
        </w:rPr>
        <w:t>"Young man, what we meant in going for those Redcoats was this: we always had governed ourselves and we always meant to. They didn't mean we should."</w:t>
      </w:r>
    </w:p>
    <w:p w:rsidR="00A70A3F" w:rsidRDefault="00A70A3F" w:rsidP="00B771C6">
      <w:pPr>
        <w:jc w:val="both"/>
      </w:pPr>
      <w:r>
        <w:rPr>
          <w:color w:val="FF0000"/>
        </w:rPr>
        <w:t>(</w:t>
      </w:r>
      <w:r w:rsidR="00374EC3" w:rsidRPr="00A70A3F">
        <w:rPr>
          <w:color w:val="FF0000"/>
        </w:rPr>
        <w:t>Captain Levi Preston of Danvers, Massachusetts, interviewed about his participation in the first battle of the American Revolution many years later, at the age of 91, around 1843</w:t>
      </w:r>
      <w:r w:rsidRPr="00A70A3F">
        <w:rPr>
          <w:color w:val="FF0000"/>
        </w:rPr>
        <w:t>.</w:t>
      </w:r>
      <w:r>
        <w:rPr>
          <w:color w:val="FF0000"/>
        </w:rPr>
        <w:t>)</w:t>
      </w:r>
      <w:r w:rsidR="00F759EA">
        <w:rPr>
          <w:rStyle w:val="EndnoteReference"/>
          <w:color w:val="FF0000"/>
        </w:rPr>
        <w:endnoteReference w:id="9"/>
      </w:r>
      <w:r>
        <w:t xml:space="preserve"> Our Founding Fathers fought to conserve their culture for themselves and their posterity.</w:t>
      </w:r>
    </w:p>
    <w:p w:rsidR="005F01F7" w:rsidRDefault="00A70A3F" w:rsidP="00B771C6">
      <w:pPr>
        <w:jc w:val="both"/>
      </w:pPr>
      <w:r>
        <w:t xml:space="preserve">   The clear victory at Lexington and Concord for the Whigs was due in part to their preparedness. “The people of New England had come sadly to the conclusion that war was inevitable, and had prepared for it with high seriousness”</w:t>
      </w:r>
      <w:r w:rsidR="00F26AC4">
        <w:rPr>
          <w:rStyle w:val="EndnoteReference"/>
        </w:rPr>
        <w:endnoteReference w:id="10"/>
      </w:r>
      <w:r w:rsidR="00F26AC4">
        <w:t xml:space="preserve">. When the Provincial Congress </w:t>
      </w:r>
      <w:r w:rsidR="00BB781E">
        <w:t>of Massachusetts called upon the towns to form militias most did so quickly, some forming units of snowshoe men, most arming the poorer men, and Lexington even made arrangements to bury the dead.</w:t>
      </w:r>
      <w:r w:rsidR="00BB781E">
        <w:rPr>
          <w:rStyle w:val="EndnoteReference"/>
        </w:rPr>
        <w:endnoteReference w:id="11"/>
      </w:r>
      <w:r w:rsidR="005F01F7">
        <w:t>The Massachusetts Bay Colony was well prepared and that is testament to their insight and intellectual courage to properly ascertain their situation as well as foresight and wisdom in the steps taken.</w:t>
      </w:r>
    </w:p>
    <w:p w:rsidR="00F95823" w:rsidRDefault="005F01F7" w:rsidP="00B771C6">
      <w:pPr>
        <w:jc w:val="both"/>
      </w:pPr>
      <w:r>
        <w:t xml:space="preserve">   The British Regulars were somewhat estranged from the British colonials and this may have made tense situations worse</w:t>
      </w:r>
      <w:r w:rsidR="006F4858">
        <w:t xml:space="preserve"> or at a minimum increased the dislike between Regular and citizen</w:t>
      </w:r>
      <w:r>
        <w:t>. In composition the Regulars differed in that colonials were not allowed to purchase commissions</w:t>
      </w:r>
      <w:r w:rsidR="007230A4">
        <w:rPr>
          <w:rStyle w:val="EndnoteReference"/>
        </w:rPr>
        <w:endnoteReference w:id="12"/>
      </w:r>
      <w:r w:rsidR="007230A4">
        <w:t>and the enlisted ranks included Irish</w:t>
      </w:r>
      <w:r w:rsidR="006F4858">
        <w:rPr>
          <w:rStyle w:val="EndnoteReference"/>
        </w:rPr>
        <w:endnoteReference w:id="13"/>
      </w:r>
      <w:r w:rsidR="00DC27EC">
        <w:t xml:space="preserve">, </w:t>
      </w:r>
      <w:r w:rsidR="0031644A">
        <w:t>Welsh, and later even German ethnics.</w:t>
      </w:r>
      <w:r w:rsidR="004D3286">
        <w:t xml:space="preserve"> The enlisted also were paid so poorly that they took up odd jobs in a coastal city </w:t>
      </w:r>
      <w:r w:rsidR="003239FB">
        <w:t>whose</w:t>
      </w:r>
      <w:r w:rsidR="004D3286">
        <w:t xml:space="preserve"> port had been closed</w:t>
      </w:r>
      <w:r w:rsidR="002547E6">
        <w:t xml:space="preserve"> </w:t>
      </w:r>
      <w:proofErr w:type="spellStart"/>
      <w:r w:rsidR="002547E6">
        <w:t>futher</w:t>
      </w:r>
      <w:proofErr w:type="spellEnd"/>
      <w:r w:rsidR="002547E6">
        <w:t xml:space="preserve"> increasing economic stress on the population</w:t>
      </w:r>
      <w:r w:rsidR="004D3286">
        <w:t>.</w:t>
      </w:r>
      <w:r w:rsidR="00282746">
        <w:t xml:space="preserve"> The Regulars were of a different Christian denomination also.</w:t>
      </w:r>
      <w:r w:rsidR="004D3286">
        <w:t xml:space="preserve"> </w:t>
      </w:r>
      <w:r w:rsidR="003239FB">
        <w:t>From the very top</w:t>
      </w:r>
      <w:r w:rsidR="003239FB">
        <w:rPr>
          <w:rStyle w:val="EndnoteReference"/>
        </w:rPr>
        <w:endnoteReference w:id="14"/>
      </w:r>
      <w:r w:rsidR="003239FB">
        <w:t>, through the officers, and down to the enlisted</w:t>
      </w:r>
      <w:r w:rsidR="003239FB">
        <w:rPr>
          <w:rStyle w:val="EndnoteReference"/>
        </w:rPr>
        <w:endnoteReference w:id="15"/>
      </w:r>
      <w:r w:rsidR="003239FB">
        <w:t xml:space="preserve"> the Regulars viewed the colonists not as brethren but rather beneath them, fit only to be </w:t>
      </w:r>
      <w:r w:rsidR="002547E6">
        <w:t>“</w:t>
      </w:r>
      <w:r w:rsidR="003239FB">
        <w:t>beasts of burden</w:t>
      </w:r>
      <w:r w:rsidR="002547E6">
        <w:t>”</w:t>
      </w:r>
      <w:r w:rsidR="003239FB">
        <w:t>.</w:t>
      </w:r>
    </w:p>
    <w:p w:rsidR="000C3637" w:rsidRDefault="00C9066E" w:rsidP="00B771C6">
      <w:pPr>
        <w:pStyle w:val="ListParagraph"/>
        <w:ind w:left="0"/>
        <w:jc w:val="both"/>
      </w:pPr>
      <w:r>
        <w:t xml:space="preserve">   The kind actions of a few, though seemingly small in nature, had a much larger effect. Ammi White had attacked a wounded Regular at the North </w:t>
      </w:r>
      <w:r w:rsidR="00B34B3D">
        <w:t>Bridge</w:t>
      </w:r>
      <w:r>
        <w:t xml:space="preserve"> and this became a “justification” to some Regulars to commit some of the more brutal acts of the fight. On the other hand, a few Colonists had helped the wounded, from a fifer boy up to a mortally wounded officer whose comments of their treatment made it back to London and may have </w:t>
      </w:r>
      <w:r w:rsidR="00B34B3D">
        <w:t>affected</w:t>
      </w:r>
      <w:r>
        <w:t xml:space="preserve"> public opinion there.</w:t>
      </w:r>
      <w:r>
        <w:rPr>
          <w:rStyle w:val="EndnoteReference"/>
        </w:rPr>
        <w:endnoteReference w:id="16"/>
      </w:r>
      <w:r w:rsidR="000C3637">
        <w:t xml:space="preserve"> Kindness even to enemies is a duty for Christians and have no doubt that the Lord will use it to your great benefit.</w:t>
      </w:r>
    </w:p>
    <w:p w:rsidR="00D8735A" w:rsidRDefault="00C27F06" w:rsidP="00B771C6">
      <w:pPr>
        <w:pStyle w:val="ListParagraph"/>
        <w:ind w:left="0"/>
        <w:jc w:val="both"/>
      </w:pPr>
      <w:r>
        <w:t xml:space="preserve">   Lastly I wish to </w:t>
      </w:r>
      <w:r w:rsidR="003A7F83">
        <w:t>offer to you my estimation of “Top of Class” for April 19</w:t>
      </w:r>
      <w:r w:rsidR="003A7F83" w:rsidRPr="003A7F83">
        <w:rPr>
          <w:vertAlign w:val="superscript"/>
        </w:rPr>
        <w:t>th</w:t>
      </w:r>
      <w:r w:rsidR="003A7F83">
        <w:t xml:space="preserve"> 1775. </w:t>
      </w:r>
      <w:r w:rsidR="00EE680A">
        <w:t xml:space="preserve"> It all starts with messenger/organizer type people of which Paul Revere worked the hardest, was the most thorough, and took great personal risk to steer the Regulars away from John Hancock and Samuel Adams. I pick him over Dr </w:t>
      </w:r>
      <w:r w:rsidR="00A8614F">
        <w:t>Samuel</w:t>
      </w:r>
      <w:r w:rsidR="00EE680A">
        <w:t xml:space="preserve"> Prescott, William Dawes, the British Regulars officer Lt Harry </w:t>
      </w:r>
      <w:proofErr w:type="spellStart"/>
      <w:r w:rsidR="00EE680A">
        <w:t>Rooke</w:t>
      </w:r>
      <w:proofErr w:type="spellEnd"/>
      <w:r w:rsidR="00EE680A">
        <w:t>, and even Dr Warren himself.</w:t>
      </w:r>
      <w:r w:rsidR="00D51C4A">
        <w:t xml:space="preserve"> One caveat about Revere is that he belonged to many organizations and some of which were secretive and one can never be sure of the agenda of such a man. Simply put,</w:t>
      </w:r>
      <w:r w:rsidR="00EE680A">
        <w:t xml:space="preserve"> </w:t>
      </w:r>
      <w:r w:rsidR="00D51C4A">
        <w:t xml:space="preserve">beware of those whose associations cannot endure the light of day. </w:t>
      </w:r>
      <w:r w:rsidR="00EE680A">
        <w:t xml:space="preserve">The women of they day had plenty to contribute and of course Margaret Gage must be given the nod for her exceedingly difficult choice of country over </w:t>
      </w:r>
      <w:r w:rsidR="002D39E9">
        <w:t xml:space="preserve">self, and behind her are Mother </w:t>
      </w:r>
      <w:proofErr w:type="spellStart"/>
      <w:r w:rsidR="002D39E9">
        <w:t>Batheric</w:t>
      </w:r>
      <w:proofErr w:type="spellEnd"/>
      <w:r w:rsidR="002D39E9">
        <w:t xml:space="preserve"> and Prudence Cummings Wright. The best officer goes to Gen William Heath. I must mention the close second, Isaac Davis, who knew and prepared his men perfectly and was driven by a higher purpose. So effectively prepared materially and mentally were his men that ev</w:t>
      </w:r>
      <w:r w:rsidR="00AC28AC">
        <w:t xml:space="preserve">en though Davis was killed they, </w:t>
      </w:r>
      <w:r w:rsidR="002D39E9">
        <w:t>despi</w:t>
      </w:r>
      <w:r w:rsidR="00AC28AC">
        <w:t>te being outnumbered, attacked and</w:t>
      </w:r>
      <w:r w:rsidR="002D39E9">
        <w:t xml:space="preserve"> maintained aimed fire in combat and broke the Regulars.</w:t>
      </w:r>
      <w:r w:rsidR="00AC28AC">
        <w:t xml:space="preserve"> Gen William Heath also knew his men but perhaps knew his enemy better. He knew the militia could not go toe to toe with the Regulars</w:t>
      </w:r>
      <w:r w:rsidR="00A8614F">
        <w:t>, only Davis’ men could do that, o</w:t>
      </w:r>
      <w:r w:rsidR="00AC28AC">
        <w:t xml:space="preserve">n the contrary Heath had developed tactics to better suit the assets of the men under his command. Heath ordered the colonists not to offer battle in large formations but rather fight “dispersed </w:t>
      </w:r>
      <w:proofErr w:type="spellStart"/>
      <w:r w:rsidR="00AC28AC">
        <w:t>tho</w:t>
      </w:r>
      <w:proofErr w:type="spellEnd"/>
      <w:r w:rsidR="00AC28AC">
        <w:t xml:space="preserve"> adhering”. The officers were ordered to minimize the mass formations and artillery of the Regulars by</w:t>
      </w:r>
      <w:r w:rsidR="001A23DD">
        <w:t xml:space="preserve"> using mobility, cover, and open order skirmishing</w:t>
      </w:r>
      <w:r w:rsidR="00AC28AC">
        <w:t>. Heath also tried to keep the Regula</w:t>
      </w:r>
      <w:r w:rsidR="001A23DD">
        <w:t>rs enveloped on all sides with his</w:t>
      </w:r>
      <w:r w:rsidR="00AC28AC">
        <w:t xml:space="preserve"> constant skirmish he called a </w:t>
      </w:r>
      <w:r w:rsidR="001A23DD">
        <w:t xml:space="preserve">“circle of fire”. He would also redirect incoming militias to points ahead of the Regulars column. A very energetic, thinking, and very present William Heath beats out such names as Capt Parker, Col </w:t>
      </w:r>
      <w:proofErr w:type="spellStart"/>
      <w:r w:rsidR="001A23DD">
        <w:t>Barret</w:t>
      </w:r>
      <w:proofErr w:type="spellEnd"/>
      <w:r w:rsidR="001A23DD">
        <w:t>, and even the Regulars own Gen Lord Hugh Percy. The single most effective fighting man was Hezekiah Wyman.</w:t>
      </w:r>
      <w:r w:rsidR="00D8735A">
        <w:t xml:space="preserve"> His effective range was twice that of the Regulars and when coupled with his </w:t>
      </w:r>
      <w:r w:rsidR="00A8614F">
        <w:t>strong</w:t>
      </w:r>
      <w:r w:rsidR="00D8735A">
        <w:t xml:space="preserve"> white mare, making his personal cross-country mobility twice that of the Regulars, he was extremely effective. </w:t>
      </w:r>
    </w:p>
    <w:p w:rsidR="00A8614F" w:rsidRDefault="00D8735A" w:rsidP="00A8614F">
      <w:pPr>
        <w:jc w:val="both"/>
      </w:pPr>
      <w:r>
        <w:t xml:space="preserve">   I’ve purposely dropped a lot of names in this last section to hopefully excite your thirst for history and especially American heritage. As you explore this topic remember that through all history the particulars are different but the situations are always similar in principle. </w:t>
      </w:r>
      <w:proofErr w:type="gramStart"/>
      <w:r>
        <w:t xml:space="preserve">“Silent </w:t>
      </w:r>
      <w:proofErr w:type="spellStart"/>
      <w:r>
        <w:t>enim</w:t>
      </w:r>
      <w:proofErr w:type="spellEnd"/>
      <w:r>
        <w:t xml:space="preserve"> </w:t>
      </w:r>
      <w:proofErr w:type="spellStart"/>
      <w:r>
        <w:t>leges</w:t>
      </w:r>
      <w:proofErr w:type="spellEnd"/>
      <w:r>
        <w:t xml:space="preserve"> inter </w:t>
      </w:r>
      <w:proofErr w:type="spellStart"/>
      <w:r>
        <w:t>arma</w:t>
      </w:r>
      <w:proofErr w:type="spellEnd"/>
      <w:r>
        <w:t>” was written over 2000 years ago by Cicero and loosely means</w:t>
      </w:r>
      <w:proofErr w:type="gramEnd"/>
      <w:r>
        <w:t xml:space="preserve"> in times of war, the law falls silent. Is that not exactly what our Founding Fathers saw and fought to </w:t>
      </w:r>
      <w:r w:rsidR="00A8614F">
        <w:t>stop?</w:t>
      </w:r>
      <w:r w:rsidR="00B771C6">
        <w:t xml:space="preserve"> Beware, people will be tempted to exploit or even fabricate social problems and stress to curtail your liberty. </w:t>
      </w:r>
      <w:r w:rsidR="00B771C6" w:rsidRPr="00DF319F">
        <w:t>“Guard with jealous attention the public liberty. Suspect every one who approaches</w:t>
      </w:r>
      <w:r w:rsidR="00B771C6">
        <w:t xml:space="preserve"> that jewel.” </w:t>
      </w:r>
      <w:r w:rsidR="00B771C6" w:rsidRPr="00DF319F">
        <w:t>Patrick Henry, Virginia Ratification Convention, June 5, 1788.</w:t>
      </w:r>
    </w:p>
    <w:p w:rsidR="00A8614F" w:rsidRDefault="00A8614F" w:rsidP="00B771C6"/>
    <w:p w:rsidR="00B771C6" w:rsidRPr="00A8614F" w:rsidRDefault="00A8614F" w:rsidP="00B771C6">
      <w:pPr>
        <w:rPr>
          <w:color w:val="FF0000"/>
        </w:rPr>
      </w:pPr>
      <w:r w:rsidRPr="00A8614F">
        <w:rPr>
          <w:color w:val="FF0000"/>
        </w:rPr>
        <w:t>The physical exercise for this lesson is a demonstration of the standing position.</w:t>
      </w:r>
      <w:r>
        <w:rPr>
          <w:color w:val="FF0000"/>
        </w:rPr>
        <w:t xml:space="preserve"> If dummy rifles are allowed, have each student build the position and get the other students to try to critic each other.</w:t>
      </w:r>
    </w:p>
    <w:p w:rsidR="00441767" w:rsidRPr="00C9066E" w:rsidRDefault="00441767" w:rsidP="00B771C6">
      <w:pPr>
        <w:pStyle w:val="ListParagraph"/>
        <w:jc w:val="both"/>
      </w:pPr>
    </w:p>
    <w:sectPr w:rsidR="00441767" w:rsidRPr="00C9066E" w:rsidSect="00441767">
      <w:headerReference w:type="default" r:id="rId6"/>
      <w:footerReference w:type="even" r:id="rId7"/>
      <w:footerReference w:type="default" r:id="rId8"/>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id="-1">
    <w:p w:rsidR="00C34EA1" w:rsidRDefault="00C34EA1" w:rsidP="00575EAD">
      <w:r>
        <w:rPr>
          <w:rStyle w:val="EndnoteReference"/>
        </w:rPr>
        <w:endnoteRef/>
      </w:r>
      <w:r>
        <w:t xml:space="preserve"> </w:t>
      </w:r>
      <w:r w:rsidRPr="00A615E0">
        <w:rPr>
          <w:sz w:val="16"/>
        </w:rPr>
        <w:t xml:space="preserve">State religions </w:t>
      </w:r>
      <w:hyperlink r:id="rId1" w:history="1">
        <w:r w:rsidRPr="00A615E0">
          <w:rPr>
            <w:rStyle w:val="Hyperlink"/>
            <w:sz w:val="16"/>
          </w:rPr>
          <w:t>http://undergod.procon.org/view.resource.php?resourceID=000069</w:t>
        </w:r>
      </w:hyperlink>
    </w:p>
  </w:endnote>
  <w:endnote w:id="0">
    <w:p w:rsidR="00C34EA1" w:rsidRDefault="00C34EA1">
      <w:pPr>
        <w:pStyle w:val="EndnoteText"/>
      </w:pPr>
      <w:r>
        <w:rPr>
          <w:rStyle w:val="EndnoteReference"/>
        </w:rPr>
        <w:endnoteRef/>
      </w:r>
      <w:r>
        <w:t xml:space="preserve"> </w:t>
      </w:r>
      <w:r w:rsidRPr="00213807">
        <w:rPr>
          <w:sz w:val="16"/>
        </w:rPr>
        <w:t xml:space="preserve">PRR </w:t>
      </w:r>
      <w:r>
        <w:rPr>
          <w:sz w:val="16"/>
        </w:rPr>
        <w:t xml:space="preserve">(Paul Revere’s Ride) </w:t>
      </w:r>
      <w:r w:rsidRPr="00213807">
        <w:rPr>
          <w:sz w:val="16"/>
        </w:rPr>
        <w:t>page 273</w:t>
      </w:r>
    </w:p>
  </w:endnote>
  <w:endnote w:id="1">
    <w:p w:rsidR="00C34EA1" w:rsidRDefault="00C34EA1">
      <w:pPr>
        <w:pStyle w:val="EndnoteText"/>
      </w:pPr>
      <w:r>
        <w:rPr>
          <w:rStyle w:val="EndnoteReference"/>
        </w:rPr>
        <w:endnoteRef/>
      </w:r>
      <w:r>
        <w:t xml:space="preserve"> </w:t>
      </w:r>
      <w:hyperlink r:id="rId2" w:history="1">
        <w:r w:rsidRPr="009D1BA4">
          <w:rPr>
            <w:rStyle w:val="Hyperlink"/>
            <w:sz w:val="16"/>
          </w:rPr>
          <w:t>http://www.answers.com/topic/massachusetts-circular-letter-11-february-1768-by-samuel-adams</w:t>
        </w:r>
      </w:hyperlink>
      <w:proofErr w:type="gramStart"/>
      <w:r>
        <w:rPr>
          <w:sz w:val="16"/>
        </w:rPr>
        <w:t xml:space="preserve"> ,</w:t>
      </w:r>
      <w:proofErr w:type="gramEnd"/>
      <w:r>
        <w:rPr>
          <w:sz w:val="16"/>
        </w:rPr>
        <w:t xml:space="preserve"> and also read the Declaration of Independence.</w:t>
      </w:r>
    </w:p>
  </w:endnote>
  <w:endnote w:id="2">
    <w:p w:rsidR="00C34EA1" w:rsidRPr="00991FDE" w:rsidRDefault="00C34EA1">
      <w:pPr>
        <w:pStyle w:val="EndnoteText"/>
        <w:rPr>
          <w:sz w:val="16"/>
        </w:rPr>
      </w:pPr>
      <w:r>
        <w:rPr>
          <w:rStyle w:val="EndnoteReference"/>
        </w:rPr>
        <w:endnoteRef/>
      </w:r>
      <w:r>
        <w:t xml:space="preserve"> </w:t>
      </w:r>
      <w:r w:rsidRPr="00991FDE">
        <w:rPr>
          <w:sz w:val="16"/>
        </w:rPr>
        <w:t>PRR page 136</w:t>
      </w:r>
    </w:p>
  </w:endnote>
  <w:endnote w:id="3">
    <w:p w:rsidR="00C34EA1" w:rsidRPr="004F1C33" w:rsidRDefault="00C34EA1">
      <w:pPr>
        <w:pStyle w:val="EndnoteText"/>
        <w:rPr>
          <w:sz w:val="16"/>
        </w:rPr>
      </w:pPr>
      <w:r>
        <w:rPr>
          <w:rStyle w:val="EndnoteReference"/>
        </w:rPr>
        <w:endnoteRef/>
      </w:r>
      <w:r>
        <w:t xml:space="preserve"> </w:t>
      </w:r>
      <w:r w:rsidRPr="004F1C33">
        <w:rPr>
          <w:sz w:val="16"/>
        </w:rPr>
        <w:t>PRR page 133</w:t>
      </w:r>
    </w:p>
  </w:endnote>
  <w:endnote w:id="4">
    <w:p w:rsidR="00C34EA1" w:rsidRDefault="00C34EA1">
      <w:pPr>
        <w:pStyle w:val="EndnoteText"/>
      </w:pPr>
      <w:r>
        <w:rPr>
          <w:rStyle w:val="EndnoteReference"/>
        </w:rPr>
        <w:endnoteRef/>
      </w:r>
      <w:r>
        <w:t xml:space="preserve"> </w:t>
      </w:r>
      <w:r w:rsidRPr="00EA2CBD">
        <w:rPr>
          <w:sz w:val="16"/>
        </w:rPr>
        <w:t>The Declaration of Independence</w:t>
      </w:r>
    </w:p>
  </w:endnote>
  <w:endnote w:id="5">
    <w:p w:rsidR="00C34EA1" w:rsidRDefault="00C34EA1">
      <w:pPr>
        <w:pStyle w:val="EndnoteText"/>
      </w:pPr>
      <w:r>
        <w:rPr>
          <w:rStyle w:val="EndnoteReference"/>
        </w:rPr>
        <w:endnoteRef/>
      </w:r>
      <w:r>
        <w:t xml:space="preserve"> </w:t>
      </w:r>
      <w:hyperlink r:id="rId3" w:history="1">
        <w:r w:rsidRPr="009D1BA4">
          <w:rPr>
            <w:rStyle w:val="Hyperlink"/>
            <w:sz w:val="16"/>
          </w:rPr>
          <w:t>http://en.wikipedia.org/wiki/Townshend_Acts</w:t>
        </w:r>
      </w:hyperlink>
      <w:r>
        <w:rPr>
          <w:sz w:val="16"/>
        </w:rPr>
        <w:t xml:space="preserve"> and also read the Declaration of Independence</w:t>
      </w:r>
    </w:p>
  </w:endnote>
  <w:endnote w:id="6">
    <w:p w:rsidR="00C34EA1" w:rsidRPr="006B1554" w:rsidRDefault="00C34EA1">
      <w:pPr>
        <w:pStyle w:val="EndnoteText"/>
        <w:rPr>
          <w:sz w:val="16"/>
        </w:rPr>
      </w:pPr>
      <w:r>
        <w:rPr>
          <w:rStyle w:val="EndnoteReference"/>
        </w:rPr>
        <w:endnoteRef/>
      </w:r>
      <w:r>
        <w:t xml:space="preserve"> </w:t>
      </w:r>
      <w:r w:rsidRPr="006B1554">
        <w:rPr>
          <w:sz w:val="16"/>
        </w:rPr>
        <w:t>The state legislatures formed the Continental Congress, the authority behind the Declaration of Independence.</w:t>
      </w:r>
    </w:p>
  </w:endnote>
  <w:endnote w:id="7">
    <w:p w:rsidR="00C34EA1" w:rsidRPr="00AB29A4" w:rsidRDefault="00C34EA1">
      <w:pPr>
        <w:pStyle w:val="EndnoteText"/>
        <w:rPr>
          <w:sz w:val="16"/>
        </w:rPr>
      </w:pPr>
      <w:r>
        <w:rPr>
          <w:rStyle w:val="EndnoteReference"/>
        </w:rPr>
        <w:endnoteRef/>
      </w:r>
      <w:r>
        <w:t xml:space="preserve"> </w:t>
      </w:r>
      <w:r w:rsidRPr="00AB29A4">
        <w:rPr>
          <w:sz w:val="16"/>
        </w:rPr>
        <w:t>PRR page 153</w:t>
      </w:r>
    </w:p>
  </w:endnote>
  <w:endnote w:id="8">
    <w:p w:rsidR="00C34EA1" w:rsidRPr="006B1554" w:rsidRDefault="00C34EA1">
      <w:pPr>
        <w:pStyle w:val="EndnoteText"/>
        <w:rPr>
          <w:sz w:val="16"/>
        </w:rPr>
      </w:pPr>
      <w:r>
        <w:rPr>
          <w:rStyle w:val="EndnoteReference"/>
        </w:rPr>
        <w:endnoteRef/>
      </w:r>
      <w:r>
        <w:t xml:space="preserve"> </w:t>
      </w:r>
      <w:r w:rsidRPr="006B1554">
        <w:rPr>
          <w:sz w:val="16"/>
        </w:rPr>
        <w:t>PRR page 153</w:t>
      </w:r>
    </w:p>
  </w:endnote>
  <w:endnote w:id="9">
    <w:p w:rsidR="00C34EA1" w:rsidRPr="00F759EA" w:rsidRDefault="00C34EA1">
      <w:pPr>
        <w:pStyle w:val="EndnoteText"/>
        <w:rPr>
          <w:sz w:val="16"/>
        </w:rPr>
      </w:pPr>
      <w:r>
        <w:rPr>
          <w:rStyle w:val="EndnoteReference"/>
        </w:rPr>
        <w:endnoteRef/>
      </w:r>
      <w:r>
        <w:t xml:space="preserve"> </w:t>
      </w:r>
      <w:r>
        <w:rPr>
          <w:sz w:val="16"/>
        </w:rPr>
        <w:t>Historical Collection of the Danvers Historical Society- Google book result</w:t>
      </w:r>
    </w:p>
  </w:endnote>
  <w:endnote w:id="10">
    <w:p w:rsidR="00C34EA1" w:rsidRPr="00F26AC4" w:rsidRDefault="00C34EA1">
      <w:pPr>
        <w:pStyle w:val="EndnoteText"/>
        <w:rPr>
          <w:sz w:val="16"/>
        </w:rPr>
      </w:pPr>
      <w:r>
        <w:rPr>
          <w:rStyle w:val="EndnoteReference"/>
        </w:rPr>
        <w:endnoteRef/>
      </w:r>
      <w:r>
        <w:t xml:space="preserve"> </w:t>
      </w:r>
      <w:r w:rsidRPr="00F26AC4">
        <w:rPr>
          <w:sz w:val="16"/>
        </w:rPr>
        <w:t>PRR page 155</w:t>
      </w:r>
    </w:p>
  </w:endnote>
  <w:endnote w:id="11">
    <w:p w:rsidR="00C34EA1" w:rsidRPr="00BB781E" w:rsidRDefault="00C34EA1">
      <w:pPr>
        <w:pStyle w:val="EndnoteText"/>
        <w:rPr>
          <w:sz w:val="16"/>
        </w:rPr>
      </w:pPr>
      <w:r>
        <w:rPr>
          <w:rStyle w:val="EndnoteReference"/>
        </w:rPr>
        <w:endnoteRef/>
      </w:r>
      <w:r>
        <w:t xml:space="preserve"> </w:t>
      </w:r>
      <w:r w:rsidRPr="00BB781E">
        <w:rPr>
          <w:sz w:val="16"/>
        </w:rPr>
        <w:t>PRR page 153</w:t>
      </w:r>
    </w:p>
  </w:endnote>
  <w:endnote w:id="12">
    <w:p w:rsidR="00C34EA1" w:rsidRPr="006F4858" w:rsidRDefault="00C34EA1" w:rsidP="006F4858">
      <w:pPr>
        <w:rPr>
          <w:sz w:val="16"/>
        </w:rPr>
      </w:pPr>
      <w:r>
        <w:rPr>
          <w:rStyle w:val="EndnoteReference"/>
        </w:rPr>
        <w:endnoteRef/>
      </w:r>
      <w:r>
        <w:t xml:space="preserve"> </w:t>
      </w:r>
      <w:hyperlink r:id="rId4" w:history="1">
        <w:r w:rsidRPr="007230A4">
          <w:rPr>
            <w:rStyle w:val="Hyperlink"/>
            <w:sz w:val="16"/>
          </w:rPr>
          <w:t>http://en.wikipedia.org/wiki/American_Revolution</w:t>
        </w:r>
      </w:hyperlink>
    </w:p>
  </w:endnote>
  <w:endnote w:id="13">
    <w:p w:rsidR="00C34EA1" w:rsidRPr="006F4858" w:rsidRDefault="00C34EA1">
      <w:pPr>
        <w:pStyle w:val="EndnoteText"/>
        <w:rPr>
          <w:sz w:val="16"/>
        </w:rPr>
      </w:pPr>
      <w:r>
        <w:rPr>
          <w:rStyle w:val="EndnoteReference"/>
        </w:rPr>
        <w:endnoteRef/>
      </w:r>
      <w:r>
        <w:t xml:space="preserve"> </w:t>
      </w:r>
      <w:r w:rsidRPr="006F4858">
        <w:rPr>
          <w:sz w:val="16"/>
        </w:rPr>
        <w:t>PRR page 230</w:t>
      </w:r>
    </w:p>
  </w:endnote>
  <w:endnote w:id="14">
    <w:p w:rsidR="00C34EA1" w:rsidRPr="003239FB" w:rsidRDefault="00C34EA1">
      <w:pPr>
        <w:pStyle w:val="EndnoteText"/>
        <w:rPr>
          <w:sz w:val="16"/>
        </w:rPr>
      </w:pPr>
      <w:r>
        <w:rPr>
          <w:rStyle w:val="EndnoteReference"/>
        </w:rPr>
        <w:endnoteRef/>
      </w:r>
      <w:r>
        <w:t xml:space="preserve"> </w:t>
      </w:r>
      <w:r w:rsidRPr="003239FB">
        <w:rPr>
          <w:sz w:val="16"/>
        </w:rPr>
        <w:t>PRR pages 38-41</w:t>
      </w:r>
    </w:p>
  </w:endnote>
  <w:endnote w:id="15">
    <w:p w:rsidR="00C34EA1" w:rsidRDefault="00C34EA1">
      <w:pPr>
        <w:pStyle w:val="EndnoteText"/>
      </w:pPr>
      <w:r>
        <w:rPr>
          <w:rStyle w:val="EndnoteReference"/>
        </w:rPr>
        <w:endnoteRef/>
      </w:r>
      <w:r>
        <w:t xml:space="preserve"> </w:t>
      </w:r>
      <w:r w:rsidRPr="003239FB">
        <w:rPr>
          <w:sz w:val="16"/>
        </w:rPr>
        <w:t>PRR page 156</w:t>
      </w:r>
      <w:r>
        <w:rPr>
          <w:sz w:val="16"/>
        </w:rPr>
        <w:t xml:space="preserve"> “We vex the Americans…”</w:t>
      </w:r>
    </w:p>
  </w:endnote>
  <w:endnote w:id="16">
    <w:p w:rsidR="00C34EA1" w:rsidRPr="00C9066E" w:rsidRDefault="00C34EA1">
      <w:pPr>
        <w:pStyle w:val="EndnoteText"/>
        <w:rPr>
          <w:sz w:val="16"/>
        </w:rPr>
      </w:pPr>
      <w:r>
        <w:rPr>
          <w:rStyle w:val="EndnoteReference"/>
        </w:rPr>
        <w:endnoteRef/>
      </w:r>
      <w:r>
        <w:t xml:space="preserve"> </w:t>
      </w:r>
      <w:r w:rsidRPr="00C9066E">
        <w:rPr>
          <w:sz w:val="16"/>
        </w:rPr>
        <w:t>PRR page 230 and 275</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EA1" w:rsidRDefault="00C34EA1" w:rsidP="00C34E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34EA1" w:rsidRDefault="00C34EA1">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EA1" w:rsidRDefault="00C34EA1" w:rsidP="00C34E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2746">
      <w:rPr>
        <w:rStyle w:val="PageNumber"/>
        <w:noProof/>
      </w:rPr>
      <w:t>1</w:t>
    </w:r>
    <w:r>
      <w:rPr>
        <w:rStyle w:val="PageNumber"/>
      </w:rPr>
      <w:fldChar w:fldCharType="end"/>
    </w:r>
  </w:p>
  <w:p w:rsidR="00C34EA1" w:rsidRDefault="00C34EA1">
    <w:pPr>
      <w:pStyle w:val="Footer"/>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EA1" w:rsidRPr="00441767" w:rsidRDefault="00C34EA1" w:rsidP="00441767">
    <w:pPr>
      <w:pStyle w:val="Header"/>
      <w:jc w:val="center"/>
      <w:rPr>
        <w:sz w:val="40"/>
      </w:rPr>
    </w:pPr>
    <w:r w:rsidRPr="00441767">
      <w:rPr>
        <w:sz w:val="40"/>
      </w:rPr>
      <w:t>Lesson 4</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F1F2A"/>
    <w:multiLevelType w:val="hybridMultilevel"/>
    <w:tmpl w:val="16CAAF0E"/>
    <w:lvl w:ilvl="0" w:tplc="55EEDD1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A56DC9"/>
    <w:multiLevelType w:val="hybridMultilevel"/>
    <w:tmpl w:val="1C7E515E"/>
    <w:lvl w:ilvl="0" w:tplc="9ED265DC">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9A267D"/>
    <w:multiLevelType w:val="hybridMultilevel"/>
    <w:tmpl w:val="053E783C"/>
    <w:lvl w:ilvl="0" w:tplc="411C1DE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41767"/>
    <w:rsid w:val="000315B4"/>
    <w:rsid w:val="000C3637"/>
    <w:rsid w:val="000C49DE"/>
    <w:rsid w:val="000E1E5C"/>
    <w:rsid w:val="00190CAF"/>
    <w:rsid w:val="001A23DD"/>
    <w:rsid w:val="00213807"/>
    <w:rsid w:val="002307E2"/>
    <w:rsid w:val="00250684"/>
    <w:rsid w:val="002547E6"/>
    <w:rsid w:val="00282746"/>
    <w:rsid w:val="002D39E9"/>
    <w:rsid w:val="0031644A"/>
    <w:rsid w:val="003239FB"/>
    <w:rsid w:val="00374EC3"/>
    <w:rsid w:val="003815AC"/>
    <w:rsid w:val="003A0025"/>
    <w:rsid w:val="003A7F83"/>
    <w:rsid w:val="003B2AB2"/>
    <w:rsid w:val="003E65FA"/>
    <w:rsid w:val="00441767"/>
    <w:rsid w:val="00454DA9"/>
    <w:rsid w:val="004B1CEF"/>
    <w:rsid w:val="004D18D5"/>
    <w:rsid w:val="004D3286"/>
    <w:rsid w:val="004E17BA"/>
    <w:rsid w:val="004F1C33"/>
    <w:rsid w:val="0055211F"/>
    <w:rsid w:val="00575EAD"/>
    <w:rsid w:val="005F01F7"/>
    <w:rsid w:val="0060430A"/>
    <w:rsid w:val="006111C3"/>
    <w:rsid w:val="00655A55"/>
    <w:rsid w:val="00670995"/>
    <w:rsid w:val="006A1FE6"/>
    <w:rsid w:val="006B1554"/>
    <w:rsid w:val="006F2FF8"/>
    <w:rsid w:val="006F4858"/>
    <w:rsid w:val="007230A4"/>
    <w:rsid w:val="007F7A7E"/>
    <w:rsid w:val="00883221"/>
    <w:rsid w:val="008F2544"/>
    <w:rsid w:val="00936672"/>
    <w:rsid w:val="00944B89"/>
    <w:rsid w:val="00991FDE"/>
    <w:rsid w:val="00A615E0"/>
    <w:rsid w:val="00A70A3F"/>
    <w:rsid w:val="00A8614F"/>
    <w:rsid w:val="00AB29A4"/>
    <w:rsid w:val="00AC28AC"/>
    <w:rsid w:val="00AD2313"/>
    <w:rsid w:val="00B34B3D"/>
    <w:rsid w:val="00B54973"/>
    <w:rsid w:val="00B771C6"/>
    <w:rsid w:val="00B961C9"/>
    <w:rsid w:val="00BA59E8"/>
    <w:rsid w:val="00BB781E"/>
    <w:rsid w:val="00C27F06"/>
    <w:rsid w:val="00C34EA1"/>
    <w:rsid w:val="00C56214"/>
    <w:rsid w:val="00C80C81"/>
    <w:rsid w:val="00C9066E"/>
    <w:rsid w:val="00CB10D8"/>
    <w:rsid w:val="00D10972"/>
    <w:rsid w:val="00D51C4A"/>
    <w:rsid w:val="00D8735A"/>
    <w:rsid w:val="00DA172B"/>
    <w:rsid w:val="00DC27EC"/>
    <w:rsid w:val="00EA2CBD"/>
    <w:rsid w:val="00ED6495"/>
    <w:rsid w:val="00EE680A"/>
    <w:rsid w:val="00F26AC4"/>
    <w:rsid w:val="00F61680"/>
    <w:rsid w:val="00F759EA"/>
    <w:rsid w:val="00F95823"/>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yperlink" w:uiPriority="99"/>
    <w:lsdException w:name="List Paragraph" w:uiPriority="34" w:qFormat="1"/>
  </w:latentStyles>
  <w:style w:type="paragraph" w:default="1" w:styleId="Normal">
    <w:name w:val="Normal"/>
    <w:qFormat/>
    <w:rsid w:val="0078113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441767"/>
    <w:pPr>
      <w:tabs>
        <w:tab w:val="center" w:pos="4320"/>
        <w:tab w:val="right" w:pos="8640"/>
      </w:tabs>
    </w:pPr>
  </w:style>
  <w:style w:type="character" w:customStyle="1" w:styleId="HeaderChar">
    <w:name w:val="Header Char"/>
    <w:basedOn w:val="DefaultParagraphFont"/>
    <w:link w:val="Header"/>
    <w:uiPriority w:val="99"/>
    <w:semiHidden/>
    <w:rsid w:val="00441767"/>
  </w:style>
  <w:style w:type="paragraph" w:styleId="Footer">
    <w:name w:val="footer"/>
    <w:basedOn w:val="Normal"/>
    <w:link w:val="FooterChar"/>
    <w:uiPriority w:val="99"/>
    <w:semiHidden/>
    <w:unhideWhenUsed/>
    <w:rsid w:val="00441767"/>
    <w:pPr>
      <w:tabs>
        <w:tab w:val="center" w:pos="4320"/>
        <w:tab w:val="right" w:pos="8640"/>
      </w:tabs>
    </w:pPr>
  </w:style>
  <w:style w:type="character" w:customStyle="1" w:styleId="FooterChar">
    <w:name w:val="Footer Char"/>
    <w:basedOn w:val="DefaultParagraphFont"/>
    <w:link w:val="Footer"/>
    <w:uiPriority w:val="99"/>
    <w:semiHidden/>
    <w:rsid w:val="00441767"/>
  </w:style>
  <w:style w:type="paragraph" w:styleId="ListParagraph">
    <w:name w:val="List Paragraph"/>
    <w:basedOn w:val="Normal"/>
    <w:uiPriority w:val="34"/>
    <w:qFormat/>
    <w:rsid w:val="00670995"/>
    <w:pPr>
      <w:ind w:left="720"/>
      <w:contextualSpacing/>
    </w:pPr>
  </w:style>
  <w:style w:type="paragraph" w:styleId="EndnoteText">
    <w:name w:val="endnote text"/>
    <w:basedOn w:val="Normal"/>
    <w:link w:val="EndnoteTextChar"/>
    <w:uiPriority w:val="99"/>
    <w:semiHidden/>
    <w:unhideWhenUsed/>
    <w:rsid w:val="00A615E0"/>
  </w:style>
  <w:style w:type="character" w:customStyle="1" w:styleId="EndnoteTextChar">
    <w:name w:val="Endnote Text Char"/>
    <w:basedOn w:val="DefaultParagraphFont"/>
    <w:link w:val="EndnoteText"/>
    <w:uiPriority w:val="99"/>
    <w:semiHidden/>
    <w:rsid w:val="00A615E0"/>
  </w:style>
  <w:style w:type="character" w:styleId="EndnoteReference">
    <w:name w:val="endnote reference"/>
    <w:basedOn w:val="DefaultParagraphFont"/>
    <w:uiPriority w:val="99"/>
    <w:semiHidden/>
    <w:unhideWhenUsed/>
    <w:rsid w:val="00A615E0"/>
    <w:rPr>
      <w:vertAlign w:val="superscript"/>
    </w:rPr>
  </w:style>
  <w:style w:type="character" w:styleId="Hyperlink">
    <w:name w:val="Hyperlink"/>
    <w:basedOn w:val="DefaultParagraphFont"/>
    <w:uiPriority w:val="99"/>
    <w:semiHidden/>
    <w:unhideWhenUsed/>
    <w:rsid w:val="00A615E0"/>
    <w:rPr>
      <w:color w:val="0000FF" w:themeColor="hyperlink"/>
      <w:u w:val="single"/>
    </w:rPr>
  </w:style>
  <w:style w:type="character" w:styleId="PageNumber">
    <w:name w:val="page number"/>
    <w:basedOn w:val="DefaultParagraphFont"/>
    <w:rsid w:val="00250684"/>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endnotes.xml.rels><?xml version="1.0" encoding="UTF-8" standalone="yes"?>
<Relationships xmlns="http://schemas.openxmlformats.org/package/2006/relationships"><Relationship Id="rId3" Type="http://schemas.openxmlformats.org/officeDocument/2006/relationships/hyperlink" Target="http://en.wikipedia.org/wiki/Townshend_Acts" TargetMode="External"/><Relationship Id="rId4" Type="http://schemas.openxmlformats.org/officeDocument/2006/relationships/hyperlink" Target="http://en.wikipedia.org/wiki/American_Revolution" TargetMode="External"/><Relationship Id="rId1" Type="http://schemas.openxmlformats.org/officeDocument/2006/relationships/hyperlink" Target="http://undergod.procon.org/view.resource.php?resourceID=000069" TargetMode="External"/><Relationship Id="rId2" Type="http://schemas.openxmlformats.org/officeDocument/2006/relationships/hyperlink" Target="http://www.answers.com/topic/massachusetts-circular-letter-11-february-1768-by-samuel-ad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1489</TotalTime>
  <Pages>5</Pages>
  <Words>2007</Words>
  <Characters>11440</Characters>
  <Application>Microsoft Macintosh Word</Application>
  <DocSecurity>0</DocSecurity>
  <Lines>95</Lines>
  <Paragraphs>22</Paragraphs>
  <ScaleCrop>false</ScaleCrop>
  <LinksUpToDate>false</LinksUpToDate>
  <CharactersWithSpaces>14049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23</cp:revision>
  <dcterms:created xsi:type="dcterms:W3CDTF">2010-11-14T00:41:00Z</dcterms:created>
  <dcterms:modified xsi:type="dcterms:W3CDTF">2010-11-17T23:41:00Z</dcterms:modified>
</cp:coreProperties>
</file>